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8F35B" w14:textId="5B21C120" w:rsidR="00AC26DB" w:rsidRPr="001B0FBE" w:rsidRDefault="003074DF" w:rsidP="00843771">
      <w:pPr>
        <w:spacing w:after="0" w:line="240" w:lineRule="auto"/>
        <w:rPr>
          <w:rFonts w:cstheme="minorHAnsi"/>
          <w:b/>
        </w:rPr>
      </w:pPr>
      <w:bookmarkStart w:id="0" w:name="_GoBack"/>
      <w:bookmarkEnd w:id="0"/>
      <w:r w:rsidRPr="00CF55B6">
        <w:rPr>
          <w:rFonts w:cstheme="minorHAnsi"/>
          <w:b/>
        </w:rPr>
        <w:t xml:space="preserve">Zestawienie uwag zgłoszonych w ramach </w:t>
      </w:r>
      <w:r w:rsidR="003D250E" w:rsidRPr="00CF55B6">
        <w:rPr>
          <w:rFonts w:cstheme="minorHAnsi"/>
          <w:b/>
        </w:rPr>
        <w:t xml:space="preserve">konsultacji </w:t>
      </w:r>
      <w:r w:rsidR="0056243E">
        <w:rPr>
          <w:rFonts w:cstheme="minorHAnsi"/>
          <w:b/>
        </w:rPr>
        <w:t xml:space="preserve">publicznych </w:t>
      </w:r>
      <w:r w:rsidRPr="00CF55B6">
        <w:rPr>
          <w:rFonts w:cstheme="minorHAnsi"/>
          <w:b/>
        </w:rPr>
        <w:t>projektu</w:t>
      </w:r>
      <w:r w:rsidRPr="00CF55B6">
        <w:rPr>
          <w:rFonts w:cstheme="minorHAnsi"/>
        </w:rPr>
        <w:t xml:space="preserve"> </w:t>
      </w:r>
      <w:r w:rsidR="003D250E" w:rsidRPr="003D250E">
        <w:rPr>
          <w:rFonts w:cstheme="minorHAnsi"/>
          <w:b/>
        </w:rPr>
        <w:t>uchwały Rady Ministrów w sprawie Inicjatywy „Wspólna Infrastruktura Informatyczna Państwa”</w:t>
      </w:r>
    </w:p>
    <w:tbl>
      <w:tblPr>
        <w:tblStyle w:val="Tabelasiatki6kolorowa"/>
        <w:tblW w:w="5000" w:type="pct"/>
        <w:tblLayout w:type="fixed"/>
        <w:tblLook w:val="04A0" w:firstRow="1" w:lastRow="0" w:firstColumn="1" w:lastColumn="0" w:noHBand="0" w:noVBand="1"/>
      </w:tblPr>
      <w:tblGrid>
        <w:gridCol w:w="568"/>
        <w:gridCol w:w="1990"/>
        <w:gridCol w:w="2197"/>
        <w:gridCol w:w="5738"/>
        <w:gridCol w:w="3501"/>
      </w:tblGrid>
      <w:tr w:rsidR="00AC26DB" w:rsidRPr="00AC26DB" w14:paraId="113D58F6" w14:textId="77777777" w:rsidTr="00AC26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</w:tcPr>
          <w:p w14:paraId="72D0F926" w14:textId="1911691F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0222">
              <w:t>Lp.</w:t>
            </w:r>
          </w:p>
        </w:tc>
        <w:tc>
          <w:tcPr>
            <w:tcW w:w="711" w:type="pct"/>
            <w:noWrap/>
          </w:tcPr>
          <w:p w14:paraId="55F30FB4" w14:textId="4BFA9078" w:rsidR="00AC26DB" w:rsidRPr="00AC26DB" w:rsidRDefault="00AC26DB" w:rsidP="00AC26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0222">
              <w:t>Podmiot zgłaszający uwagi</w:t>
            </w:r>
          </w:p>
        </w:tc>
        <w:tc>
          <w:tcPr>
            <w:tcW w:w="785" w:type="pct"/>
            <w:noWrap/>
          </w:tcPr>
          <w:p w14:paraId="68AE519E" w14:textId="2C5208FC" w:rsidR="00AC26DB" w:rsidRPr="00AC26DB" w:rsidRDefault="00AC26DB" w:rsidP="00AC26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0222">
              <w:t>Jednostka redakcyjna</w:t>
            </w:r>
            <w:r>
              <w:t xml:space="preserve"> </w:t>
            </w:r>
            <w:r w:rsidRPr="001B0FBE">
              <w:rPr>
                <w:rFonts w:ascii="Calibri" w:eastAsia="Times New Roman" w:hAnsi="Calibri" w:cs="Calibri"/>
                <w:color w:val="000000"/>
                <w:lang w:eastAsia="pl-PL"/>
              </w:rPr>
              <w:t>do której jest zgłaszana uwaga</w:t>
            </w:r>
          </w:p>
        </w:tc>
        <w:tc>
          <w:tcPr>
            <w:tcW w:w="2050" w:type="pct"/>
            <w:noWrap/>
          </w:tcPr>
          <w:p w14:paraId="37571F94" w14:textId="3B9AAAFC" w:rsidR="00AC26DB" w:rsidRPr="00AC26DB" w:rsidRDefault="00AC26DB" w:rsidP="00AC26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0222">
              <w:t>Podmiot zgłaszający uwagi</w:t>
            </w:r>
          </w:p>
        </w:tc>
        <w:tc>
          <w:tcPr>
            <w:tcW w:w="1251" w:type="pct"/>
            <w:noWrap/>
          </w:tcPr>
          <w:p w14:paraId="24635194" w14:textId="379E5340" w:rsidR="00AC26DB" w:rsidRPr="00AC26DB" w:rsidRDefault="00AC26DB" w:rsidP="00AC26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40222">
              <w:t>Jednostka redakcyjna</w:t>
            </w:r>
          </w:p>
        </w:tc>
      </w:tr>
      <w:tr w:rsidR="00AC26DB" w:rsidRPr="00AC26DB" w14:paraId="398D0FF7" w14:textId="77777777" w:rsidTr="00AC2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355AF462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711" w:type="pct"/>
            <w:noWrap/>
            <w:hideMark/>
          </w:tcPr>
          <w:p w14:paraId="7D5E2FE9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21610318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Uchwała § 1 ust. 2 i dalsze</w:t>
            </w:r>
          </w:p>
        </w:tc>
        <w:tc>
          <w:tcPr>
            <w:tcW w:w="2050" w:type="pct"/>
            <w:noWrap/>
            <w:hideMark/>
          </w:tcPr>
          <w:p w14:paraId="6F8FE578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 widząc w projekcie Uchwały pozytywny ruch w stronę wymienionych w Ocenie Skutków Regulacji oszczędności, podniesienia cyberbezpieczeństwa, praktycznego wdrożenia modelu chmury obliczeniowej itd. zwraca uwagę na konieczność przygotowania dokumentu strategicznego związanego z tworzeniem i eksploatacją Wspólnej Infrastruktury Informacyjnej Państwa.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Uważamy, że taki dokument powinien m.in.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·         Przedstawić doświadczenia innych krajów, zwłaszcza krajów członkowskich UE w procesie tworzenia i rozwijania chmur rządowych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·         Przedstawić listę aktów prawnych wymagających nowelizacji oraz kierunków tej nowelizacji, m.in. ustawa o informatyzacji, Rozporządzenie KRI, rozporządzenia sektorowe itd. oraz planu zmian tych aktów prawnych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·         Przedstawić relację WIIP związaną z tworzeniem wspólnego rynku cyfrowego w Europie (m.in. RODO, Rozporządzenie Free Flow of non-personal Data, dyrektywa NIS i np. wymagania wobec Dostawców Usług Cyfrowych) oraz usług pan-europejskich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·         Stworzenie zasad klasyfikacji danych w administracji, ich zabezpieczeń, zasad przetwarzania, archiwizacji itd. itp.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·         Wykorzystać dokumenty takie jak ENISA Security Framework for Governmental Clouds i wnioski z niego płynące dla wdrożenia RCO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Przedstawione przez PIIT uwagi mogą być bezpośrednio zastosowane przy tworzeniu takiego dokumentu.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Uważamy stworzenie takiego dokumentu strategicznego za pilne, a prace nad nim powinny przebiegać równolegle do prac nad uchwałą. Mamy także świadomość, że pełne wdrożenie RCO i dołączenie do niego CPD należących do innych jednostek administracji będzie procesem, który będzie wymagał czasu (patrz uwaga nr 5 dotycząca zasad certyfikacji), stąd możliwość wykorzystania go do przygotowania odpowiedniego dokumentu strategicznego.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Polska Izba Informatyki i Telekomunikacji deklaruje swoją pomoc merytoryczną przy stworzeniu takiego dokumentu.</w:t>
            </w:r>
          </w:p>
        </w:tc>
        <w:tc>
          <w:tcPr>
            <w:tcW w:w="1251" w:type="pct"/>
            <w:noWrap/>
            <w:hideMark/>
          </w:tcPr>
          <w:p w14:paraId="7E6310EB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Wyjaśnienie.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Zagadnienia dotyczące infrastruktury IT administracji publicznej są uwzględniane w projekcie zmian w Programie Zintegrowanej Informatyzacji Państwa. Rozwiązania przewidziane w uchwale stanowią ramy funkcjonowania Rządowej Chmury Obliczeniowej oraz modelu zamawiania usług Publicznej Chmury Obliczeniowej.</w:t>
            </w:r>
          </w:p>
        </w:tc>
      </w:tr>
      <w:tr w:rsidR="00AC26DB" w:rsidRPr="00AC26DB" w14:paraId="4B8A3FBE" w14:textId="77777777" w:rsidTr="00AC26D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73AA55A9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711" w:type="pct"/>
            <w:noWrap/>
            <w:hideMark/>
          </w:tcPr>
          <w:p w14:paraId="68A539EA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25ABBA39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Uchwała - całość</w:t>
            </w:r>
          </w:p>
        </w:tc>
        <w:tc>
          <w:tcPr>
            <w:tcW w:w="2050" w:type="pct"/>
            <w:noWrap/>
            <w:hideMark/>
          </w:tcPr>
          <w:p w14:paraId="3F50DCC4" w14:textId="29C2C698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Prosimy o wyjaśnienie sposobu wykorzystania dokumentu dostępnego 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nline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https://www.gov.pl/documents/31305/436699/Projekt_Rekomendacji_Ministra_Cyfryzacji_dotycz%C4%85cych_warunk%C3%B3w_technicznych_i_organizacyjnych_powierzenia_danych_administracji_publicznej_do_przetwarzania_w_publicznej_chmurze_obliczeniowej.odt/17bef34f-b621-1aac-e497-9686f362f0e1 zatytułowanego „Projekt Rekomendacji Ministra Cyfryzacji dotyczących warunków technicznych i organizacyjnych powierzenia danych administracji publicznej do przetwarzania w publicznej chmurze obliczeniowej” Projekt 2018.07.09. Dokument ten, był wielokrotnie omawiany z przedstawicielami przemysłu i do którego zgłoszono w ubiegłym roku wiele uwag, zawiera wiele rekomendacji odmiennych od zapisów zaproponowanych w treści uchwały wraz załącznikami.</w:t>
            </w:r>
          </w:p>
        </w:tc>
        <w:tc>
          <w:tcPr>
            <w:tcW w:w="1251" w:type="pct"/>
            <w:noWrap/>
            <w:hideMark/>
          </w:tcPr>
          <w:p w14:paraId="1C322A37" w14:textId="417A9C9E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Wyjaśnienie.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Przedmiotowy dokument był konsultowany a zwarte w nim rozwiązania będą w razie potrzeby wykorzystywane w procesie wdrażania wybranych elementów Inicjatywy WIIP.</w:t>
            </w:r>
          </w:p>
        </w:tc>
      </w:tr>
      <w:tr w:rsidR="00AC26DB" w:rsidRPr="00AC26DB" w14:paraId="3FB24865" w14:textId="77777777" w:rsidTr="00AC2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11BC4BF8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711" w:type="pct"/>
            <w:noWrap/>
            <w:hideMark/>
          </w:tcPr>
          <w:p w14:paraId="7FBB2ACD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4A660624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§ 1</w:t>
            </w:r>
          </w:p>
        </w:tc>
        <w:tc>
          <w:tcPr>
            <w:tcW w:w="2050" w:type="pct"/>
            <w:noWrap/>
            <w:hideMark/>
          </w:tcPr>
          <w:p w14:paraId="5A2060FA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Umieszczenie definicji chmury obliczeniowej w projekcie Uchwały.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Uzasadnienie: w tekście Uchwały korzysta się z pojęć takich jak chmura obliczeniowa, prywatna chmura obliczeniowa,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publiczna chmura obliczeniowa itd. itp. Również pojęć takich jak PaaS, IaaS, SaaS. W polskim prawie obecna jest tylko „Usługa przetwarzania w chmurze” zdefiniowana jako „Usługa umożliwiającą dostęp do skalowalnego i elastycznego zbioru zasobów obliczeniowych do wspólnego wykorzystywania przez wielu użytkowników”, ustawa o krajowym systemie cyberbezpieczeństwa, Załącznik nr 2. Natomiast nie ma aktu, w którym zdefiniowana jest chmura obliczeniowa – wprowadzenie takiej definicji pozwoli także na uniknięcie używania pojęcia chmury dla innych usług teleinformatycznych, które są nazywane „chmurą” dla celów marketingowych.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Poniżej proponujemy wprowadzenie tylko definicji chmury obliczeniowej, którą opcjonalnie można uzupełnić o definicje chmury prywatnej i chmury publicznej.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Propozycja zapisu definicji bazuje na zmodyfikowanej przez Komisję Europejską definicji NIST (źródło: http://www.europarl.europa.eu/RegData/etudes/etudes/join/2012/475104/IPOL-IMCO_ET(2012)475104_PL.pdf)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Chmura obliczeniowa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Model umożliwiający powszechny, wygodny, udzielany na żądanie dostęp za pośrednictwem sieci do wspólnej puli możliwych do konfiguracji zasobów przetwarzania (np. sieci, serwerów, przestrzeni przechowywania, aplikacji i usług), które można szybko dostarczyć i uwolnić przy minimalnym wysiłku zarządzania lub działań dostawcy usługi.</w:t>
            </w:r>
          </w:p>
        </w:tc>
        <w:tc>
          <w:tcPr>
            <w:tcW w:w="1251" w:type="pct"/>
            <w:noWrap/>
            <w:hideMark/>
          </w:tcPr>
          <w:p w14:paraId="27353801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Uwaga uwzględniona.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Projekt uchwały został uzupełniony o stosowne definicje.</w:t>
            </w:r>
          </w:p>
        </w:tc>
      </w:tr>
      <w:tr w:rsidR="00AC26DB" w:rsidRPr="00AC26DB" w14:paraId="302A3F1A" w14:textId="77777777" w:rsidTr="00AC26D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35900FDA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711" w:type="pct"/>
            <w:noWrap/>
            <w:hideMark/>
          </w:tcPr>
          <w:p w14:paraId="72BCEAC5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548779D5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§ 1 i § 11</w:t>
            </w:r>
          </w:p>
        </w:tc>
        <w:tc>
          <w:tcPr>
            <w:tcW w:w="2050" w:type="pct"/>
            <w:noWrap/>
            <w:hideMark/>
          </w:tcPr>
          <w:p w14:paraId="494F87C2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wpisanie zasady pierwszeństwa korzystania ze Wspólnej Infrastruktury Informatycznej Państwa oraz w związku z tym usunięcia § 11.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Propozycja brzmienia: § 1 (nowy) ust. 2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2. Przyjmuje się zasadę pierwszeństwa Wspólnej Infrastruktury Informatycznej Państwa dla budowania, rozwijania i wykorzystania wszystkich nowych i modyfikowanych systemów teleinformatycznych administracji publicznej.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Uzasadnienie: taka zasada została wpisana w „Objaśnienia ogólne” w Załączniku nr 2, ale jest ona na tyle ważna, że powinna znaleźć się w samej treści Uchwały. Oczywiste korzyści wymienione w OSR są wystarczającym uzasadnieniem.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Jednocześnie można usunąć § 11, który w sposób mniej zobowiązujący wskazywał tylko możliwość uzgodnień i to ograniczoną do Rządowej Chmury Obliczeniowej.</w:t>
            </w:r>
          </w:p>
        </w:tc>
        <w:tc>
          <w:tcPr>
            <w:tcW w:w="1251" w:type="pct"/>
            <w:noWrap/>
            <w:hideMark/>
          </w:tcPr>
          <w:p w14:paraId="0B17EEA1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Uwaga nieuwzględniona.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Korzystanie z usług RChO nie jest obligatoryjne.</w:t>
            </w:r>
          </w:p>
        </w:tc>
      </w:tr>
      <w:tr w:rsidR="00AC26DB" w:rsidRPr="00AC26DB" w14:paraId="526D400F" w14:textId="77777777" w:rsidTr="00AC2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5FC38D27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711" w:type="pct"/>
            <w:noWrap/>
            <w:hideMark/>
          </w:tcPr>
          <w:p w14:paraId="6C0B00A9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7D253805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Załącznik nr 1 pkt. 1</w:t>
            </w:r>
          </w:p>
        </w:tc>
        <w:tc>
          <w:tcPr>
            <w:tcW w:w="2050" w:type="pct"/>
            <w:noWrap/>
            <w:hideMark/>
          </w:tcPr>
          <w:p w14:paraId="7DCCCD2E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Podano niewłaściwe nazwy norm. Powinno być: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1.       PN-ISO/IEC 20000-1 Technika informatyczna -- Zarządzanie usługami -- Część 1: Wymagania dla systemu zarządzania usługami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2.       PN-EN-ISO/IEC 27001 Technika informatyczna -- Techniki bezpieczeństwa -- Systemy zarządzania bezpieczeństwem informacji – Wymagania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3.       PN-EN ISO 22031 Bezpieczeństwo powszechne -- Systemy zarządzania ciągłością działania – Wymagania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Norma PN-ISO 31000 Zarządzanie ryzykiem – Wytyczne nie określa wymagań, gdyż jest zbiorem dobrych praktyk. Z tego powodu nie można uzyskać na tę normę potwierdzenia zgodności (nie ma określonych wymagań). Norma ta powinna być usunięta z listy.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W wymaganiach zabrakło konieczności uwzględnienia norm specyficznych dla usług chmurowych w systemie zarządzania bezpieczeństwem informacji zgodnego z normą PN-EN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ISO/IEC 27001: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1.       PN-ISO/IEC 27017 Technika informatyczna -- Techniki bezpieczeństwa -- Praktyczne zasady zabezpieczenia informacji na podstawie ISO/IEC 27002 dla usług w chmurze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2.       PN-ISO/IEC 27018 Technika informatyczna -- Techniki bezpieczeństwa -- Praktyczne zasady ochrony danych identyfikujących osobę (PII) w chmurach publicznych działających jako przetwarzający PII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Należałoby również rozważyć uzyskanie certyfikatu CSA STAR (Cloud Security Alliance). Należy, jednakże zauważyć, że jedynie normy PN-EN-ISO/IEC 27001 oraz PN-EN ISO 22301 są normami zharmonizowanymi i jako takie mogą być przywoływane bezpośrednio w prawie wspólnotowym (normy zharmonizowane opracowuje jedna z europejskich organizacji normalizacyjnych w odpowiedzi na zlecenie normalizacji pochodzące od Komisji Europejskiej; normy zharmonizowane pozwalają wykazać, że dane produkty lub usługi są zgodne z wymogami technicznymi określonymi w odpowiednich przepisach prawa UE).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Odstąpienie od konieczności posiadania akredytowanych certyfikatów w zakresie wyżej wymienionych norm jest niedopuszczalne (podobnie jak 18 miesięczne vacatio legis). Certyfikaty te posiadają takie platformy jak Microsoft Azure (https://azure.microsoft.com/pl-pl/overview/trusted-cloud/compliance/), czy Amazon Web Services (https://aws.amazon.com/compliance/programs/). Certyfikacje takie posiadają też znacznie mniejsi gracze na rynku, tacy jak: OVH (np. ISO/IEC 27001, PCI DSS poziom 1 dla usług płatniczych); ATMAN Cloud (ATM S.A.) (certyfikat ISO/IEC 27001), OCTAWAVE (Certyfikat ISO/IEC 27001 oraz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CSA STAR) i inne.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Certyfikaty muszą być akredytowane, aktualne, wydane przed rozpoczęciem świadczenia usług, a ich zakres musi być adekwatny do świadczonych usług.</w:t>
            </w:r>
          </w:p>
        </w:tc>
        <w:tc>
          <w:tcPr>
            <w:tcW w:w="1251" w:type="pct"/>
            <w:noWrap/>
            <w:hideMark/>
          </w:tcPr>
          <w:p w14:paraId="6215EF7B" w14:textId="77777777" w:rsid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Uwaga uwzględniona.</w:t>
            </w:r>
          </w:p>
          <w:p w14:paraId="34E864BC" w14:textId="587D82F6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Zmieniono listę wymagań oraz sposobu ich weryfikacji.</w:t>
            </w:r>
          </w:p>
        </w:tc>
      </w:tr>
      <w:tr w:rsidR="00AC26DB" w:rsidRPr="00AC26DB" w14:paraId="7EEA4E09" w14:textId="77777777" w:rsidTr="00AC26D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443F6F64" w14:textId="7E9132E6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711" w:type="pct"/>
            <w:noWrap/>
            <w:hideMark/>
          </w:tcPr>
          <w:p w14:paraId="50A13767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53D74FB8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Załącznik nr 2 Tabela</w:t>
            </w:r>
          </w:p>
        </w:tc>
        <w:tc>
          <w:tcPr>
            <w:tcW w:w="2050" w:type="pct"/>
            <w:noWrap/>
            <w:hideMark/>
          </w:tcPr>
          <w:p w14:paraId="369127F7" w14:textId="0B320002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Połączenie kategorii „Publiczna Chmura Obliczeniowa w jurysdykcji krajowej” oraz „Publiczna Chmura Obliczeniowa w jurysdykcji państwa UE” do kategorii „publiczna chmura obliczeniowa”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Propozycja (alternatywa): w liniach 7 i 9 oznaczyć „x” dla kolumny „Publiczna Chmura Obliczeniowa w jurysdykcji państwa UE”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Uzasadnienie: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a)      Nie ma definicji czym jest chmura obliczeniowa w jurysdykcji krajowej a czym chmura w jurysdykcji państwa UE – czy chodzi o pochodzenie podmiotu (dostawcy) usługi chmurowej? Lokalizację CPD takiego dostawcy? Czy chodzi o pochodzenie podmiotu, z którym zostanie podpisana umowa na usługi publicznej chmury obliczeniowej? Co, jeśli taki dostawca ma centrum zapasowe poza granicami Polski? Itd. itp.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b)      Dyrektywa NIS oraz ustawa o krajowym systemie cyberbezpieczeństwa zakłada ponad graniczne świadczenie usług przez Dostawców Usług Cyfrowych, a zatem należałoby oczekiwać, że dla rozróżnienie na „jurysdykcję krajową” i „jurysdykcję państwa UE” będzie dotyczyło usług, które mają jeszcze wyższe wymagania bezpieczeństwa niż usługi kluczowe w rozumieniu ustawy o KSC;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c)       W projekcie rozróżnienie tych dwóch chmur publicznych występuje tylko w punktach 7 i 9, przy czym brak widocznego rzeczywistego uzasadnienia, dlaczego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wprowadzono takie rozróżnienie;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d)      Rozporządzenie Parlamentu Europejskiego i Rady (UE) 2018/1807 z dnia 14 listopada 2018 r. w sprawie ram swobodnego przepływu danych nieosobowych w Unii Europejskiej wprost zakazuje tworzenia przeszkód w swobodnym przepływie danych, a co więcej wszelkie istniejące przeszkody powinny być usunięte do 30 maja 2021 roku. ;</w:t>
            </w:r>
          </w:p>
        </w:tc>
        <w:tc>
          <w:tcPr>
            <w:tcW w:w="1251" w:type="pct"/>
            <w:noWrap/>
            <w:hideMark/>
          </w:tcPr>
          <w:p w14:paraId="79B70FE9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Uwaga nieuwzględniona. Kryterium uzasadniającym rozróżnienie na dwie kategorie jest miejsce przetwarzania danych. W odniesieniu do rozporządzenia 2018/1807 wskazane rozróżnienie na miejsce przechowywania danych w powiązaniu z rodzajami danych, które mogą być przetwarzane w chmurze danej kategorii nie stoi w sprzeczności z przepisami rozporządzenia 2018/1807, gdyż spełnia przesłanki w nim określone (względy bezpieczeństwa publicznego i zasada proporcjonalności).</w:t>
            </w:r>
          </w:p>
        </w:tc>
      </w:tr>
      <w:tr w:rsidR="00AC26DB" w:rsidRPr="00AC26DB" w14:paraId="34BB7636" w14:textId="77777777" w:rsidTr="00AC2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7DC09ACA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711" w:type="pct"/>
            <w:noWrap/>
            <w:hideMark/>
          </w:tcPr>
          <w:p w14:paraId="60FF2A65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380A5E00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Załącznik nr 2 Tabela pozycja 1.</w:t>
            </w:r>
          </w:p>
        </w:tc>
        <w:tc>
          <w:tcPr>
            <w:tcW w:w="2050" w:type="pct"/>
            <w:noWrap/>
            <w:hideMark/>
          </w:tcPr>
          <w:p w14:paraId="2107C7BC" w14:textId="1837034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Proponujemy rozważyć wykorzystanie Rządowej Chmury Obliczeniowej dla przetwarzania informacji o klauzuli „zastrzeżone” (po uprzedniej nowelizacji Rozporządzenia Prezesa Rady Ministrów w sprawie podstawowych wymagań bezpieczeństwa teleinformatycznego).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Propozycja zapisu: Oznaczenie „X” także w kolumnie „Rządowa Chmura Obliczeniowa”, zaś w kolumnie „Objaśnienia dla poszczególnych kategorii” wpisać „Przetwarzanie w RCO tylko informacji o klauzuli „zastrzeżone” – po nowelizacji Rozporządzenia Prezesa Rady Ministrów w sprawie podstawowych wymagań bezpieczeństwa teleinformatycznego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Uzasadnienie: Informacje niejawne o klauzuli „zastrzeżone” są potencjalnie najczęściej stosowanymi informacjami, przy czym akredytacji bezpieczeństwa dokonuje kierownik jednostki organizacyjnej przekazując odpowiednio ABW lub SKW przygotowaną dokumentację (art. 48 p. 9 i nast.). Jest także możliwe, że system teleinformatyczny będzie działał w więcej niż jednej jednostce.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W przypadku RCO oszacowanie ryzyk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oraz przygotowanie bezpiecznego przetwarzania informacji opatrzonych klauzulą „zastrzeżone” będzie niemal bez wątpienia wyższe niż w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wielu jednostkach organizacyjnych wymienionych w par. 6 Uchwały, w szczególności zaś jeśli z narzędzi RCO miałyby korzystać nie tylko jednostki administracji rządowej, ale także samorządy (patrz Ocena Skutków Regulacji załączona do projektu uchwały), gdzie poziom cyberbezpieczeństwa przy dzisiejszych zagrożeniach nie jest dostateczny.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Sądzimy, że Rozporządzenie Prezesa Rady Ministrów w sprawie podstawowych wymagań bezpieczeństwa teleinformatycznego z 20 lipca 2011 powstawało w czasie, kiedy model chmury obliczeniowej nie był rozpoznany i wymaga nowelizacji niezależnie od omawianej tutaj Uchwały. Warto przy tej okazji dokonać dodatkowej pracy i wprowadzić zapisy dotyczące chmury dla informacji o klauzuli „zastrzeżone”, w tym także dotyczące wymagań CPD serwującego usługi chmurowe, w którym takie informacje mogą być przetwarzane.</w:t>
            </w:r>
          </w:p>
        </w:tc>
        <w:tc>
          <w:tcPr>
            <w:tcW w:w="1251" w:type="pct"/>
            <w:noWrap/>
            <w:hideMark/>
          </w:tcPr>
          <w:p w14:paraId="4286496B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Wyjaśnienie.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MC zdaje sobie sprawę z potrzeby  zapewnienia możliwości przetwarzania w  RChO informacji "zastrzeżone" i jest to brane pod uwagę na obecnym etapie implementacji rozwiązań technologicznych stosowanych przy budowie RChO. Konkretne działania w tym zakresie będą kontynuowane po odpowiednim przygotowaniu struktur odpowiedzialnych za bezpieczeństwo oraz wdrożeniu stosownych rekomendacji m.in. Rzecznika rządu ds. cyberbezpieczeństwa.  </w:t>
            </w:r>
          </w:p>
        </w:tc>
      </w:tr>
      <w:tr w:rsidR="00AC26DB" w:rsidRPr="00AC26DB" w14:paraId="3D346E09" w14:textId="77777777" w:rsidTr="00AC26D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16B2B9CE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711" w:type="pct"/>
            <w:noWrap/>
            <w:hideMark/>
          </w:tcPr>
          <w:p w14:paraId="618ED28D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3F304656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Załącznik nr 2 Tabela pozycja 4.</w:t>
            </w:r>
          </w:p>
        </w:tc>
        <w:tc>
          <w:tcPr>
            <w:tcW w:w="2050" w:type="pct"/>
            <w:noWrap/>
            <w:hideMark/>
          </w:tcPr>
          <w:p w14:paraId="3F549E94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doprecyzowanie zapisu tego punktu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Propozycja zapisu: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Systemy teleinformatyczne wykorzystywane do prowadzenia rejestrów, ewidencji oraz innych baz danych, w których dane stanowią tajemnicę prawnie chronioną wynikającą z innych przepisów powszechnych, i prowadzonych przez organy wymiaru sprawiedliwości, służby lub formacje umundurowane oraz służby odpowiedzialne za zapewnienie porządku i bezpieczeństwa publicznego, z wyłączeniem służb wskazanych w pkt 5.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Uzasadnienie: Wymienione w pozycji 4 organy wymiaru sprawiedliwości, służby i formacje – podobnie jak wszystkie pozostałe organy administracji – mają dane, które mogą być sklasyfikowane w różny sposób. Obecny sposób zapisu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wyłącza je w sposób sektorowy z praktycznie jakiegokolwiek wykorzystania chmury publicznej, a bez trudu można wskazać różne zastosowania, gdzie takie usługi mogłyby mieć ogromne zastosowanie.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Oczywiście optymalnym rozwiązaniem byłoby wprowadzenie odpowiedniej klasyfikacji danych w administracji publicznej, podobnie jak to zostało już wprowadzone w wielu krajach. W dniu dzisiejszym praktycznie oprócz informacji publicznych, informacji niejawnych, rozróżnienia na dane osobowe i nieosobowe oraz danych specyficznie opisanych przez oddzielne przepisy (tajemnica skarbowa, szczególne kategorie danych osobowych) mamy ogromną ilość informacji, która nie jest sklasyfikowana. </w:t>
            </w:r>
          </w:p>
        </w:tc>
        <w:tc>
          <w:tcPr>
            <w:tcW w:w="1251" w:type="pct"/>
            <w:noWrap/>
            <w:hideMark/>
          </w:tcPr>
          <w:p w14:paraId="2C54685C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Uwaga nieuwzględniona.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Obecny zapis oznacza możliwość utrzymywania systemu w ramach Dedykowanej Infrastruktury Teleinformatycznej (DIT) lub w Rządowej Chmurze Obliczeniowej w zależności od wyniku przeprowadzonej analizy danych pod kątem spełnienia wymogów bezpieczeństwa przez RChO dla przetwarzania danych administracji publicznej instytucjonalnie chronionych. Jeżeli będzie możliwe wdrożenie takich zabezpieczeń dany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system będzie mógł zostać uruchomiony w chmurze rządowej. </w:t>
            </w:r>
          </w:p>
        </w:tc>
      </w:tr>
      <w:tr w:rsidR="00AC26DB" w:rsidRPr="00AC26DB" w14:paraId="458D1D5B" w14:textId="77777777" w:rsidTr="00AC2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1F6E163B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711" w:type="pct"/>
            <w:noWrap/>
            <w:hideMark/>
          </w:tcPr>
          <w:p w14:paraId="5D57896F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0240436A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Załącznik nr 2 Tabela pozycja 7. </w:t>
            </w:r>
          </w:p>
        </w:tc>
        <w:tc>
          <w:tcPr>
            <w:tcW w:w="2050" w:type="pct"/>
            <w:noWrap/>
            <w:hideMark/>
          </w:tcPr>
          <w:p w14:paraId="66FA2192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oznaczenie „x” kolumny „Publiczna Chmura Obliczeniowa w jurysdykcji państwa UE”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Uzasadnienie: patrz uwaga 6 dot. połączenia w jedną kolumn dla publicznej chmury obliczeniowej</w:t>
            </w:r>
          </w:p>
        </w:tc>
        <w:tc>
          <w:tcPr>
            <w:tcW w:w="1251" w:type="pct"/>
            <w:noWrap/>
            <w:hideMark/>
          </w:tcPr>
          <w:p w14:paraId="24E6CE82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Uwaga nieuwzględniona. Vide uwaga nr 57.</w:t>
            </w:r>
          </w:p>
        </w:tc>
      </w:tr>
      <w:tr w:rsidR="00AC26DB" w:rsidRPr="00AC26DB" w14:paraId="381D37BE" w14:textId="77777777" w:rsidTr="00AC26D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51ABF483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711" w:type="pct"/>
            <w:noWrap/>
            <w:hideMark/>
          </w:tcPr>
          <w:p w14:paraId="4CD0383B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6B0A05D3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Załącznik nr 2 Tabela pozycja 15</w:t>
            </w:r>
          </w:p>
        </w:tc>
        <w:tc>
          <w:tcPr>
            <w:tcW w:w="2050" w:type="pct"/>
            <w:noWrap/>
            <w:hideMark/>
          </w:tcPr>
          <w:p w14:paraId="42217BDD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dopisanie do kolumny „Objaśnienia do poszczególnych kategorii” dodatkowej kategorii „Środowiska testowe z danymi testowymi, bez danych produkcyjnych”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Propozycja alternatywna: stworzenie dodatkowego rzędu w tabeli z oznaczeniem „Środowiska prototypowe nie zawierające danych produkcyjnych (dane testowe)” i zaznaczeniem „x” w trzech kolumnach RCO, oraz dla chmur publicznych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Uzasadnienie: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Projekty (np. finansowane z funduszy UE) w pierwszych fazach polegają na zakupie i uruchomieniu dużej ilości infrastruktury i licencji na podstawie wstępnych założeń. Prototyp jest dostępny po wielu miesiącach i wtedy często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okazuje się, że jest nie do przyjęcia. Alternatywą jest bądź albo oddać pieniądze do UE, bądź brnąć dalej w rozwiązanie, o którym wiadomo, że nie jest optymalne. Jednocześnie niezależnie od wyboru infrastruktura już jest „moralnie” zestarzała.  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Rozwiązaniem jest wykorzystanie chmury obliczeniowej do momentu powstania prototypu (na tym etapie w tworzonym systemie są tylko dane testowe). Dopiero po odebraniu pierwszych etapów projektu aplikacja jest przenoszona na produkcję i zasilana danymi. Oczywiście finalne rozwiązanie może być rozwiązaniem chmurowym, ale również może trafić do infrastruktury on-premise. Taki scenariusz: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-obniża ryzyko projektowe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-skraca czas projektu o pierwsze fazy dostawy i instalacji/konfiguracji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-oszczędza opłaty maintanance itp. w pierwszych fazach projektu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-pozwala zrobić poprawny sizing/skalowanie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-chroni przed starzeniem się technologii, kiedy nie jest używana</w:t>
            </w:r>
          </w:p>
        </w:tc>
        <w:tc>
          <w:tcPr>
            <w:tcW w:w="1251" w:type="pct"/>
            <w:noWrap/>
            <w:hideMark/>
          </w:tcPr>
          <w:p w14:paraId="1999B0B8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Uwaga nieuwzględniona.</w:t>
            </w:r>
          </w:p>
        </w:tc>
      </w:tr>
      <w:tr w:rsidR="00AC26DB" w:rsidRPr="00AC26DB" w14:paraId="5542C5AC" w14:textId="77777777" w:rsidTr="00AC2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53F05701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711" w:type="pct"/>
            <w:noWrap/>
            <w:hideMark/>
          </w:tcPr>
          <w:p w14:paraId="4646992E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1D6F4F0F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Załącznik nr 2 Tabela pozycja 15a</w:t>
            </w:r>
          </w:p>
        </w:tc>
        <w:tc>
          <w:tcPr>
            <w:tcW w:w="2050" w:type="pct"/>
            <w:noWrap/>
            <w:hideMark/>
          </w:tcPr>
          <w:p w14:paraId="619E6E24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Dodanie jeszcze jednej linii w tabeli dla systemów superkomputerowych (HPC).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Propozycja brzmienia: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Kategoria systemów: Środowiska superkomputerowe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Oraz zaznaczenie „x” w dwóch kolumnach dla chmur publicznych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Uzasadnienie: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Środowiska superkomputerowe są w chwili obecnej normalną częścią oferty chmury publicznej, a co więcej dostępne narzędzia wymagają coraz mniejszego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przygotowania osób jest stosujących. Polskie centra superkomputerowe przede wszystkim mają służyć badaniom naukowym, natomiast dostępność dla zastosowań w administracji jest ograniczona i droga. Dlatego też ich wykorzystanie jest incydentalne. Widzimy natomiast możliwość prowadzenia niektórych obliczeń z wykorzystaniem HPC w takich zagadnieniach jak symulacje dla finansów publicznych, ubezpieczeń społecznych, ochrona zdrowia, statystyka czy nawet bezpieczeństwo narodowe (to ostatnie oczywiście z ograniczeniami). </w:t>
            </w:r>
          </w:p>
        </w:tc>
        <w:tc>
          <w:tcPr>
            <w:tcW w:w="1251" w:type="pct"/>
            <w:noWrap/>
            <w:hideMark/>
          </w:tcPr>
          <w:p w14:paraId="15F43931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Uwaga wyjaśniona.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W ramach finansowania z POPC nie planujemy udostępnienia usługi HPC (grupy usług). Natomiast, możemy taką usługę oferować z katalogu usług poza finansowaniem POPC.</w:t>
            </w:r>
          </w:p>
        </w:tc>
      </w:tr>
      <w:tr w:rsidR="00AC26DB" w:rsidRPr="00AC26DB" w14:paraId="1A95A645" w14:textId="77777777" w:rsidTr="00AC26D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7DA62C26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711" w:type="pct"/>
            <w:noWrap/>
            <w:hideMark/>
          </w:tcPr>
          <w:p w14:paraId="6AF8B7BF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62AE03A9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Załącznik nr 2 punkt 2</w:t>
            </w:r>
          </w:p>
        </w:tc>
        <w:tc>
          <w:tcPr>
            <w:tcW w:w="2050" w:type="pct"/>
            <w:noWrap/>
            <w:hideMark/>
          </w:tcPr>
          <w:p w14:paraId="53AA35C2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dopisanie nowego punktu przed podpunktem 1)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Propozycja zapisu: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Dla systemów teleinformatycznych opisanych w kategoriach 11 oraz 15 i znajdujących się w katalogach udostępnionych w Systemie Zapewnienia Usług Chmurowych dokonywanie analizy nie jest wymagane.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Uzasadnienie: Uproszczenie procesu wykorzystania RCO lub usług chmury publicznej. § 8 ust. 1 wskazuje na to, że minister właściwy prowadzi procesy związane z zarządzaniem Systemu Zapewnienia Usług Chmurowych, czyli można to uznać za wstępną analizę usług chmurowych. Jednocześnie, niezależnie od tego czy system jest w infrastrukturze własnej czy w chmurze, każdy organ administracji publicznej obowiązują przepisy wynikające z ustawy o informatyzacji, Rozporządzenia Krajowe Ramy Interoperacyjności lub innych przepisów. A zatem dla tych najprostszych przypadków – kategorie 11 i 15 – można przyjąć, że nie jest potrzebna dodatkowa prac analityczna.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Uwaga: jeśli zostanie przyjęta uwaga 11 (środowiska testowe) to również one nie wymagają robienia analizy z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zastrzeżeniem jakie dane testowe będą wykorzystywane (jak te dane zostały przygotowane, czy przypadkiem nie jest to kopia danych rzeczywistych).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Warto także rozważyć relację pomiędzy zapisami dotyczącymi wymagań analizy, a wymaganiami wobec Dostawców Usług Cyfrowych wynikających z ustawy o krajowym systemie cyberbezpieczeństwa oraz Rozporządzenia 2018/151. </w:t>
            </w:r>
          </w:p>
        </w:tc>
        <w:tc>
          <w:tcPr>
            <w:tcW w:w="1251" w:type="pct"/>
            <w:noWrap/>
            <w:hideMark/>
          </w:tcPr>
          <w:p w14:paraId="43DD4465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Uwaga nieuwzględniona.</w:t>
            </w:r>
          </w:p>
        </w:tc>
      </w:tr>
      <w:tr w:rsidR="00AC26DB" w:rsidRPr="00AC26DB" w14:paraId="1A4E1619" w14:textId="77777777" w:rsidTr="00AC2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7A1854CB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711" w:type="pct"/>
            <w:noWrap/>
            <w:hideMark/>
          </w:tcPr>
          <w:p w14:paraId="1279E4A3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6945027A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Załącznik nr 2 punkt 2 ustęp 1.</w:t>
            </w:r>
          </w:p>
        </w:tc>
        <w:tc>
          <w:tcPr>
            <w:tcW w:w="2050" w:type="pct"/>
            <w:noWrap/>
            <w:hideMark/>
          </w:tcPr>
          <w:p w14:paraId="2D4A74BB" w14:textId="039C937F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Uzasadnienie: pozostała część ustępu jest bądź oczywista, bądź jest powtórzeniem informacji z tego samego ustępu. Propozycja: usunąć wszystkie zapisy tego ustępu od słów „lub w publicznych chmurach obliczeniowych”.</w:t>
            </w:r>
          </w:p>
        </w:tc>
        <w:tc>
          <w:tcPr>
            <w:tcW w:w="1251" w:type="pct"/>
            <w:noWrap/>
            <w:hideMark/>
          </w:tcPr>
          <w:p w14:paraId="1C6CF05E" w14:textId="56C5F6DE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Uwaga </w:t>
            </w:r>
            <w:r w:rsidR="002B3F6D"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nieuwzględniona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AC26DB" w:rsidRPr="00AC26DB" w14:paraId="6DA2B64F" w14:textId="77777777" w:rsidTr="00AC26D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40B28FA7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711" w:type="pct"/>
            <w:noWrap/>
            <w:hideMark/>
          </w:tcPr>
          <w:p w14:paraId="1D3DD9F4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68DF28C6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Załącznik nr 2 punkt 2</w:t>
            </w:r>
          </w:p>
        </w:tc>
        <w:tc>
          <w:tcPr>
            <w:tcW w:w="2050" w:type="pct"/>
            <w:noWrap/>
            <w:hideMark/>
          </w:tcPr>
          <w:p w14:paraId="3D68DE94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w przypadku, kiedy jednostki sektora finansów publicznych wymienione w § 6 ust. 1 punkty 1) i 2) nie zamierzają wykorzystać Wspólnej Infrastruktury Informatycznej Państwa dodać wymaganie przygotowania przez te jednostki analizy obejmującej przyczyny techniczne, organizacyjne, prawne i finansowe takiej decyzji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Propozycja brzmienia: 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2) Jednostki sektora finansów publicznych wymienione w § 6 ust. 1 punkty 1) i 2), które dla swoich systemów teleinformatycznych nie zamierzają wykorzystać Wspólnej Infrastruktury Informatycznej Państwa winny przygotować analizę obejmującą przyczyny techniczne, organizacyjne, prawne i finansowe takiej decyzji przed rozpoczęciem procesu projektowania, budowania lub modyfikacji systemu teleinformatycznego.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Analiza taka nie jest wymagana dla systemów teleinformatycznych, dla których niezbędna jest wyłącznie Dedykowana Infrastruktura Teleinformatyczna (DIT) zgodnie z listą kategorii systemów teleinformatycznych wymienionych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w niniejszym załączniku.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Analiza powinna zostać przekazana ministrowi właściwemu ds. informatyzacji przed podjęciem decyzji o pierwszych wydatkach z funduszy publicznych na cel związany z analizowanym systemem teleinformatycznym.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Uzasadnienie: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Przyczyny stworzenia WIIP zostały przedstawione w OSR, a wprowadzenie WIIP powinno podnieść bezpieczeństwo, skrócić czas uruchamiania, uprościć zarządzanie zasobami, obniżyć koszty itd. itp. Jednocześnie jest jasne, że dla wielu systemów teleinformatycznych czy to obecnie eksploatowanych czy będących w trakcie procesu planowania, czy procesu zamówień publicznych przenoszenie ich do WIIP może nie być racjonalne. Również WIIP może nie dysponować w danym momencie odpowiednimi zasobami informatycznymi dla realizacji takich systemów. Dlatego też wymagane będzie od jednostek finansów publicznych wymienionych w § 6 ust. 1 p. 1) i 2) przygotowanie analizy wskazującej przyczyny odstąpienia od wykorzystania WIIP. Uwaga: ostateczna decyzja o tym czy wykorzystany zostanie WIIP czy też nie pozostaje przy tej jednostce, do ministra właściwego ds. informatyzacji trafia wyłącznie przygotowana przez jednostkę analiza.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Dzięki takim analizom minister właściwy ds. informatyzacji, który jest za nią odpowiedzialny będzie miał dla celów planistycznych dwie dopełniające informacje – o zakresie wykorzystania WIIP oraz o potencjalnym zakresie wykorzystania WIIP, który nie doszedł do skutku. Pozwoli to na racjonalny rozwój WIIP tak by w kolejnych latach w coraz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większym stopniu taka infrastruktura mogła być wykorzystywana.</w:t>
            </w:r>
          </w:p>
        </w:tc>
        <w:tc>
          <w:tcPr>
            <w:tcW w:w="1251" w:type="pct"/>
            <w:noWrap/>
            <w:hideMark/>
          </w:tcPr>
          <w:p w14:paraId="7B2FA390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Uwaga nieuwzględniona.</w:t>
            </w:r>
          </w:p>
        </w:tc>
      </w:tr>
      <w:tr w:rsidR="00AC26DB" w:rsidRPr="00AC26DB" w14:paraId="37711ECB" w14:textId="77777777" w:rsidTr="00AC2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1638DD3A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15</w:t>
            </w:r>
          </w:p>
        </w:tc>
        <w:tc>
          <w:tcPr>
            <w:tcW w:w="711" w:type="pct"/>
            <w:noWrap/>
            <w:hideMark/>
          </w:tcPr>
          <w:p w14:paraId="1E8BBC89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71CC8BAA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§ 3 ust. 1</w:t>
            </w:r>
          </w:p>
        </w:tc>
        <w:tc>
          <w:tcPr>
            <w:tcW w:w="2050" w:type="pct"/>
            <w:noWrap/>
            <w:hideMark/>
          </w:tcPr>
          <w:p w14:paraId="3C7FA7F7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Przeniesienie zapisu § 3. ust. 1. jako pierwszego ustępu w § 5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Uzasadnienie: treść tego punktu dotyczy CPD, który szczegółowo jest opisany w § 5</w:t>
            </w:r>
          </w:p>
        </w:tc>
        <w:tc>
          <w:tcPr>
            <w:tcW w:w="1251" w:type="pct"/>
            <w:noWrap/>
            <w:hideMark/>
          </w:tcPr>
          <w:p w14:paraId="377D6D0E" w14:textId="77777777" w:rsidR="002B3F6D" w:rsidRDefault="00AC26DB" w:rsidP="002B3F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Uwaga </w:t>
            </w:r>
            <w:r w:rsidR="002B3F6D"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nieuwzględniona</w:t>
            </w:r>
            <w:r w:rsidR="002B3F6D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  <w:p w14:paraId="085B73AB" w14:textId="61CD9344" w:rsidR="00AC26DB" w:rsidRPr="00AC26DB" w:rsidRDefault="00AC26DB" w:rsidP="002B3F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Przepis dotyczy usług przetwarzania w RChO.</w:t>
            </w:r>
          </w:p>
        </w:tc>
      </w:tr>
      <w:tr w:rsidR="00AC26DB" w:rsidRPr="00AC26DB" w14:paraId="065A66A7" w14:textId="77777777" w:rsidTr="00AC26D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09B72A04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711" w:type="pct"/>
            <w:noWrap/>
            <w:hideMark/>
          </w:tcPr>
          <w:p w14:paraId="52D38DE1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18F6D3F2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§ 3 ust. 2</w:t>
            </w:r>
          </w:p>
        </w:tc>
        <w:tc>
          <w:tcPr>
            <w:tcW w:w="2050" w:type="pct"/>
            <w:noWrap/>
            <w:hideMark/>
          </w:tcPr>
          <w:p w14:paraId="03F6936A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Przeniesienie tego punktu jako drugiego ustępu w § 4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Uzasadnienie: lepsze umiejscowienie treści tego zapisu – poprawa czytelności.</w:t>
            </w:r>
          </w:p>
        </w:tc>
        <w:tc>
          <w:tcPr>
            <w:tcW w:w="1251" w:type="pct"/>
            <w:noWrap/>
            <w:hideMark/>
          </w:tcPr>
          <w:p w14:paraId="2581F9D7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Uwaga nieuwzględniona. </w:t>
            </w:r>
          </w:p>
        </w:tc>
      </w:tr>
      <w:tr w:rsidR="00AC26DB" w:rsidRPr="00AC26DB" w14:paraId="2A9DCB67" w14:textId="77777777" w:rsidTr="00AC2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5520DB53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711" w:type="pct"/>
            <w:noWrap/>
            <w:hideMark/>
          </w:tcPr>
          <w:p w14:paraId="688AE401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3359E6EF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§ 3 ust. 2</w:t>
            </w:r>
          </w:p>
        </w:tc>
        <w:tc>
          <w:tcPr>
            <w:tcW w:w="2050" w:type="pct"/>
            <w:noWrap/>
            <w:hideMark/>
          </w:tcPr>
          <w:p w14:paraId="0095F65F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usunięcie „oraz innymi organami administracji rządowej”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Uzasadnienie: potrzeba współpracy ministra właściwego do spraw informatyzacji z ministrem właściwym do spraw finansów publicznych oraz ministrem właściwym do spraw wewnętrznych jest zapisana w dalszej części Uchwały natomiast nie ma w niej odniesienie do żadnych innych organów administracji rządowej. Współpraca na zasadach ogólnych jest oczywista i nie wymaga zapisu w uchwale. Współpraca związana z porozumieniami zawartymi z innymi organami wynika z zapisów tych porozumień.</w:t>
            </w:r>
          </w:p>
        </w:tc>
        <w:tc>
          <w:tcPr>
            <w:tcW w:w="1251" w:type="pct"/>
            <w:noWrap/>
            <w:hideMark/>
          </w:tcPr>
          <w:p w14:paraId="1419534F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Uwaga nieuwzględniona.</w:t>
            </w:r>
          </w:p>
        </w:tc>
      </w:tr>
      <w:tr w:rsidR="00AC26DB" w:rsidRPr="00AC26DB" w14:paraId="2EF06A2E" w14:textId="77777777" w:rsidTr="00AC26D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0290FB43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711" w:type="pct"/>
            <w:noWrap/>
            <w:hideMark/>
          </w:tcPr>
          <w:p w14:paraId="0F03E417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2351FEAB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§ 3 ust. 3</w:t>
            </w:r>
          </w:p>
        </w:tc>
        <w:tc>
          <w:tcPr>
            <w:tcW w:w="2050" w:type="pct"/>
            <w:noWrap/>
            <w:hideMark/>
          </w:tcPr>
          <w:p w14:paraId="71BF1C5B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usunięcie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Uzasadnienie: ten ustęp nie wnosi niczego do treści uchwały. Wymienione są typowe usługi chmurowe, a zapis, że będą „w szczególności” świadczone mówi, że w zasadzie każde usługi chmurowe mogą być w RCO…</w:t>
            </w:r>
          </w:p>
        </w:tc>
        <w:tc>
          <w:tcPr>
            <w:tcW w:w="1251" w:type="pct"/>
            <w:noWrap/>
            <w:hideMark/>
          </w:tcPr>
          <w:p w14:paraId="4BAFB646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Uwaga nieuwzględniona.</w:t>
            </w:r>
          </w:p>
        </w:tc>
      </w:tr>
      <w:tr w:rsidR="00AC26DB" w:rsidRPr="00AC26DB" w14:paraId="324A1E73" w14:textId="77777777" w:rsidTr="00AC2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58263CE1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711" w:type="pct"/>
            <w:noWrap/>
            <w:hideMark/>
          </w:tcPr>
          <w:p w14:paraId="4DFA593B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183E0FF1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§ 3 ust. 4</w:t>
            </w:r>
          </w:p>
        </w:tc>
        <w:tc>
          <w:tcPr>
            <w:tcW w:w="2050" w:type="pct"/>
            <w:noWrap/>
            <w:hideMark/>
          </w:tcPr>
          <w:p w14:paraId="46DE83BB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prosimy o precyzyjne zdefiniowanie czego dotyczy ten ustęp lub jego usunięcie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Uzasadnienie: W § 3. Ust.2. zapisane jest kto będzie świadczył usługi RCO (minister właściwy do spraw informatyzacji), zaś w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§ 4 ust.2 zapisane jest komu powierza realizację zadania (Centralnemu Ośrodkowi Informatyki). Jaką inną sytuację zatem opisuje § 3 ust.4.?</w:t>
            </w:r>
          </w:p>
        </w:tc>
        <w:tc>
          <w:tcPr>
            <w:tcW w:w="1251" w:type="pct"/>
            <w:noWrap/>
            <w:hideMark/>
          </w:tcPr>
          <w:p w14:paraId="6170751F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Wyjaśnienie. Przepisy zostały przeredagowane.</w:t>
            </w:r>
          </w:p>
        </w:tc>
      </w:tr>
      <w:tr w:rsidR="00AC26DB" w:rsidRPr="00AC26DB" w14:paraId="4A2317AC" w14:textId="77777777" w:rsidTr="00AC26D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607EE2BD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711" w:type="pct"/>
            <w:noWrap/>
            <w:hideMark/>
          </w:tcPr>
          <w:p w14:paraId="7ECD5901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26DC6E3B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§ 5 ust. 2</w:t>
            </w:r>
          </w:p>
        </w:tc>
        <w:tc>
          <w:tcPr>
            <w:tcW w:w="2050" w:type="pct"/>
            <w:noWrap/>
            <w:hideMark/>
          </w:tcPr>
          <w:p w14:paraId="7967DE0D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usunięcie tego ustępu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Uzasadnienie: zapis § 2 ust. 2. zawiera to co zostało zapisane w § 5 ust. 2. – nie ma potrzeby powtarzania tej samej informacji</w:t>
            </w:r>
          </w:p>
        </w:tc>
        <w:tc>
          <w:tcPr>
            <w:tcW w:w="1251" w:type="pct"/>
            <w:noWrap/>
            <w:hideMark/>
          </w:tcPr>
          <w:p w14:paraId="20BE933C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Wyjaśnienie. Przepisy zostały przeredagowane.</w:t>
            </w:r>
          </w:p>
        </w:tc>
      </w:tr>
      <w:tr w:rsidR="00AC26DB" w:rsidRPr="00AC26DB" w14:paraId="43D15DC3" w14:textId="77777777" w:rsidTr="00AC2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3F500823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711" w:type="pct"/>
            <w:noWrap/>
            <w:hideMark/>
          </w:tcPr>
          <w:p w14:paraId="7C54FAB5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6322E358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§ 7 ust. 7</w:t>
            </w:r>
          </w:p>
        </w:tc>
        <w:tc>
          <w:tcPr>
            <w:tcW w:w="2050" w:type="pct"/>
            <w:noWrap/>
            <w:hideMark/>
          </w:tcPr>
          <w:p w14:paraId="480EBE8F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usunięcie tego ustępu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Uzasadnienie: zapis jest niezrozumiały… </w:t>
            </w:r>
          </w:p>
        </w:tc>
        <w:tc>
          <w:tcPr>
            <w:tcW w:w="1251" w:type="pct"/>
            <w:noWrap/>
            <w:hideMark/>
          </w:tcPr>
          <w:p w14:paraId="78B145D8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Wyjaśnienie. Przepis przewiduje możliwość korzystania z RKB także przez CPD, które nie zostały przyłączone do RChO.</w:t>
            </w:r>
          </w:p>
        </w:tc>
      </w:tr>
      <w:tr w:rsidR="00AC26DB" w:rsidRPr="00AC26DB" w14:paraId="5D3E4A2B" w14:textId="77777777" w:rsidTr="00AC26D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5206EA10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711" w:type="pct"/>
            <w:noWrap/>
            <w:hideMark/>
          </w:tcPr>
          <w:p w14:paraId="6E4E5B0D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4F07E97F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§ 8 ust. 3 pkt. 2) oraz § 8 ust. 4</w:t>
            </w:r>
          </w:p>
        </w:tc>
        <w:tc>
          <w:tcPr>
            <w:tcW w:w="2050" w:type="pct"/>
            <w:noWrap/>
            <w:hideMark/>
          </w:tcPr>
          <w:p w14:paraId="6FB51078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proponujemy połączyć te dwa punkty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Propozycja nowego brzmienia § 8 ust. 3 pkt. 2)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katalog usług przetwarzania w publicznych chmurach obliczeniowych, aktualizowany po przeprowadzeniu postępowania na zakup usług przetwarzania w publicznej chmurze obliczeniowej zgodnie z przepisami ustawy z dnia 29 stycznia 2004 r. – Prawo zamówień publicznych (Dz. U. z 2018 r. poz. 1986 i 2215) oraz zawarciu umów z wykonawcami.</w:t>
            </w:r>
          </w:p>
        </w:tc>
        <w:tc>
          <w:tcPr>
            <w:tcW w:w="1251" w:type="pct"/>
            <w:noWrap/>
            <w:hideMark/>
          </w:tcPr>
          <w:p w14:paraId="1045B505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Uwaga nieuwzględniona.</w:t>
            </w:r>
          </w:p>
        </w:tc>
      </w:tr>
      <w:tr w:rsidR="00AC26DB" w:rsidRPr="00AC26DB" w14:paraId="788EDA1A" w14:textId="77777777" w:rsidTr="00AC2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39B04D28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711" w:type="pct"/>
            <w:noWrap/>
            <w:hideMark/>
          </w:tcPr>
          <w:p w14:paraId="3B8CC2D6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221B5446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§ 10 ust. 2</w:t>
            </w:r>
          </w:p>
        </w:tc>
        <w:tc>
          <w:tcPr>
            <w:tcW w:w="2050" w:type="pct"/>
            <w:noWrap/>
            <w:hideMark/>
          </w:tcPr>
          <w:p w14:paraId="08F7C31F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usunąć ten ustęp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Uzasadnienie: dotyczy CPD, które nie są przyłączane do RCO, stąd dokonywanie przez posiadaczy tych CPD takich analiz jest zbędne; patrz także uwaga nr 27 (dotycząca Załącznika nr 1 punkt 5)</w:t>
            </w:r>
          </w:p>
        </w:tc>
        <w:tc>
          <w:tcPr>
            <w:tcW w:w="1251" w:type="pct"/>
            <w:noWrap/>
            <w:hideMark/>
          </w:tcPr>
          <w:p w14:paraId="62225859" w14:textId="77777777" w:rsidR="002B3F6D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Uwaga </w:t>
            </w:r>
            <w:r w:rsidR="002B3F6D"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uwzględniona</w:t>
            </w:r>
            <w:r w:rsidR="002B3F6D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  <w:p w14:paraId="240540AC" w14:textId="080FD31B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Przepis został usunięty.</w:t>
            </w:r>
          </w:p>
        </w:tc>
      </w:tr>
      <w:tr w:rsidR="00AC26DB" w:rsidRPr="00AC26DB" w14:paraId="3BB36394" w14:textId="77777777" w:rsidTr="00AC26D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1B520C90" w14:textId="5AA4283F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711" w:type="pct"/>
            <w:noWrap/>
            <w:hideMark/>
          </w:tcPr>
          <w:p w14:paraId="35B8A031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06E65444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Załącznik nr 1 oraz § 5 ust. 1</w:t>
            </w:r>
          </w:p>
        </w:tc>
        <w:tc>
          <w:tcPr>
            <w:tcW w:w="2050" w:type="pct"/>
            <w:noWrap/>
            <w:hideMark/>
          </w:tcPr>
          <w:p w14:paraId="7BED34CF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wprowadzenie nowego punktu § 5 ust. 1a w brzmieniu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Pisemne oświadczenie, o którym mowa w § 5 ust. 1. składane jest operatorowi Rządowej Chmury Obliczeniowej nie rzadziej niż co 12 miesięcy.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Uzasadnienie: Zgodnie z zapisami § 5 ust. 1 posiadacz CPD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składa oświadczenie o spełnianiu minimalnych wymagań tylko raz. Nie ma żadnych mechanizmów, które by nakazywały regularnego sprawdzania stanu CPD i wypełniania tych wymagań. Brakuje jakichkolwiek mechanizmów kontrolnych dla operatora RCO. Uznajemy, że skoro wystarczającym jest oświadczenie posiadacza CPD o wypełnianiu warunków to wystarczy wskazać częstotliwość takiego oświadczenia.</w:t>
            </w:r>
          </w:p>
        </w:tc>
        <w:tc>
          <w:tcPr>
            <w:tcW w:w="1251" w:type="pct"/>
            <w:noWrap/>
            <w:hideMark/>
          </w:tcPr>
          <w:p w14:paraId="560FEAE6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Uwaga nieuwzględniona. Oświadczenie jest składane na etapie przyłączenia do RChO.</w:t>
            </w:r>
          </w:p>
        </w:tc>
      </w:tr>
      <w:tr w:rsidR="00AC26DB" w:rsidRPr="00AC26DB" w14:paraId="51BCEE73" w14:textId="77777777" w:rsidTr="00AC26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6BFFFF6D" w14:textId="77777777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711" w:type="pct"/>
            <w:noWrap/>
            <w:hideMark/>
          </w:tcPr>
          <w:p w14:paraId="56F6F08F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5A777072" w14:textId="77777777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Załącznik nr 1 punkt 2 podpunkt 1)</w:t>
            </w:r>
          </w:p>
        </w:tc>
        <w:tc>
          <w:tcPr>
            <w:tcW w:w="2050" w:type="pct"/>
            <w:noWrap/>
            <w:hideMark/>
          </w:tcPr>
          <w:p w14:paraId="4765FA62" w14:textId="77777777" w:rsidR="00D24C8A" w:rsidRDefault="00AC26DB" w:rsidP="00D24C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ujednolicenie treści tego podpunktu z § 3 ust. 1 Uchwały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Propozycja brzmienia: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obiekt CPD jest własnością organów administracji rządowej albo jednostk</w:t>
            </w:r>
            <w:r w:rsidR="00D24C8A">
              <w:rPr>
                <w:rFonts w:ascii="Calibri" w:eastAsia="Times New Roman" w:hAnsi="Calibri" w:cs="Calibri"/>
                <w:color w:val="000000"/>
                <w:lang w:eastAsia="pl-PL"/>
              </w:rPr>
              <w:t>i im podległej lub nadzorowanej.</w:t>
            </w:r>
          </w:p>
          <w:p w14:paraId="2BD33331" w14:textId="17F2A99C" w:rsidR="00AC26DB" w:rsidRPr="00AC26DB" w:rsidRDefault="00AC26DB" w:rsidP="00D24C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Uwaga: należy wyjaśnić kwestie „własności organów administracji </w:t>
            </w:r>
            <w:r w:rsidR="00D24C8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rządowej”. Formalnie „własność” 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zarezerwowana jest dla Skarbu Państwa, natomiast zarząd nad nią powierzany jest organowi administracji rządowej.</w:t>
            </w:r>
          </w:p>
        </w:tc>
        <w:tc>
          <w:tcPr>
            <w:tcW w:w="1251" w:type="pct"/>
            <w:noWrap/>
            <w:hideMark/>
          </w:tcPr>
          <w:p w14:paraId="605FAEAC" w14:textId="757AFD4F" w:rsidR="00AC26DB" w:rsidRPr="00AC26DB" w:rsidRDefault="00AC26DB" w:rsidP="00AC26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Uwaga nieuwzględniona. Własność należy rozumieć zgodnie z przepisami Kodeksu cywilnego. W przypadku Skarbu Państwa porozumienie będzie podpisywał właściwy Statio Fisci - lecz własność CPD ma należeć do Skarbu Państwa. Analogiczna sytacja wygląda w odniesieniu do jednostek samorządu </w:t>
            </w:r>
            <w:r w:rsidR="002B3F6D"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terytorialnego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W przypadku jednostek podległych i nadzorowanych będą one właścicielami CPD w przypadku gdy posiadają odrębną osobowość prawną. </w:t>
            </w:r>
          </w:p>
        </w:tc>
      </w:tr>
      <w:tr w:rsidR="00AC26DB" w:rsidRPr="00AC26DB" w14:paraId="32C8E074" w14:textId="77777777" w:rsidTr="00AC26D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" w:type="pct"/>
            <w:noWrap/>
            <w:hideMark/>
          </w:tcPr>
          <w:p w14:paraId="5814962E" w14:textId="2E436EA0" w:rsidR="00AC26DB" w:rsidRPr="00AC26DB" w:rsidRDefault="00AC26DB" w:rsidP="00AC26DB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711" w:type="pct"/>
            <w:noWrap/>
            <w:hideMark/>
          </w:tcPr>
          <w:p w14:paraId="28D24BD6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Polska Izba Informatyki i Telekomunikacji</w:t>
            </w:r>
          </w:p>
        </w:tc>
        <w:tc>
          <w:tcPr>
            <w:tcW w:w="785" w:type="pct"/>
            <w:noWrap/>
            <w:hideMark/>
          </w:tcPr>
          <w:p w14:paraId="26B42484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Załącznik nr 1 punkt 5</w:t>
            </w:r>
          </w:p>
        </w:tc>
        <w:tc>
          <w:tcPr>
            <w:tcW w:w="2050" w:type="pct"/>
            <w:noWrap/>
            <w:hideMark/>
          </w:tcPr>
          <w:p w14:paraId="069D7BB9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Propozycja: usunąć</w:t>
            </w: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Uzasadnienie: Posiadacz CPD, którego infrastruktura nie wchodzi do RCO nie musi spełniać wymagań zapisanych tą Uchwałą.</w:t>
            </w:r>
          </w:p>
        </w:tc>
        <w:tc>
          <w:tcPr>
            <w:tcW w:w="1251" w:type="pct"/>
            <w:noWrap/>
            <w:hideMark/>
          </w:tcPr>
          <w:p w14:paraId="62A01816" w14:textId="77777777" w:rsidR="00AC26DB" w:rsidRPr="00AC26DB" w:rsidRDefault="00AC26DB" w:rsidP="00AC26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26DB">
              <w:rPr>
                <w:rFonts w:ascii="Calibri" w:eastAsia="Times New Roman" w:hAnsi="Calibri" w:cs="Calibri"/>
                <w:color w:val="000000"/>
                <w:lang w:eastAsia="pl-PL"/>
              </w:rPr>
              <w:t>Uwaga uwzględniona.</w:t>
            </w:r>
          </w:p>
        </w:tc>
      </w:tr>
    </w:tbl>
    <w:p w14:paraId="26E2FC3C" w14:textId="77777777" w:rsidR="00816522" w:rsidRPr="00CF55B6" w:rsidRDefault="00816522" w:rsidP="00843771">
      <w:pPr>
        <w:spacing w:after="0" w:line="240" w:lineRule="auto"/>
        <w:rPr>
          <w:rFonts w:cstheme="minorHAnsi"/>
        </w:rPr>
      </w:pPr>
    </w:p>
    <w:sectPr w:rsidR="00816522" w:rsidRPr="00CF55B6" w:rsidSect="001B0F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6F467D" w14:textId="77777777" w:rsidR="00B37DFA" w:rsidRDefault="00B37DFA" w:rsidP="001A618D">
      <w:pPr>
        <w:spacing w:after="0" w:line="240" w:lineRule="auto"/>
      </w:pPr>
      <w:r>
        <w:separator/>
      </w:r>
    </w:p>
  </w:endnote>
  <w:endnote w:type="continuationSeparator" w:id="0">
    <w:p w14:paraId="320FE78E" w14:textId="77777777" w:rsidR="00B37DFA" w:rsidRDefault="00B37DFA" w:rsidP="001A6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1F480" w14:textId="77777777" w:rsidR="001A618D" w:rsidRDefault="001A61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066CB" w14:textId="77777777" w:rsidR="001A618D" w:rsidRDefault="001A618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708C7" w14:textId="77777777" w:rsidR="001A618D" w:rsidRDefault="001A61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007C3" w14:textId="77777777" w:rsidR="00B37DFA" w:rsidRDefault="00B37DFA" w:rsidP="001A618D">
      <w:pPr>
        <w:spacing w:after="0" w:line="240" w:lineRule="auto"/>
      </w:pPr>
      <w:r>
        <w:separator/>
      </w:r>
    </w:p>
  </w:footnote>
  <w:footnote w:type="continuationSeparator" w:id="0">
    <w:p w14:paraId="725B929C" w14:textId="77777777" w:rsidR="00B37DFA" w:rsidRDefault="00B37DFA" w:rsidP="001A6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A850C" w14:textId="77777777" w:rsidR="001A618D" w:rsidRDefault="001A61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9D1CA" w14:textId="77777777" w:rsidR="001A618D" w:rsidRDefault="001A61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34F8F9" w14:textId="77777777" w:rsidR="001A618D" w:rsidRDefault="001A61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0044B4"/>
    <w:multiLevelType w:val="hybridMultilevel"/>
    <w:tmpl w:val="03DC6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87D13"/>
    <w:multiLevelType w:val="hybridMultilevel"/>
    <w:tmpl w:val="03DC6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0587C"/>
    <w:multiLevelType w:val="hybridMultilevel"/>
    <w:tmpl w:val="03DC6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765BB"/>
    <w:multiLevelType w:val="multilevel"/>
    <w:tmpl w:val="C346F950"/>
    <w:styleLink w:val="mojalist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71E07557"/>
    <w:multiLevelType w:val="hybridMultilevel"/>
    <w:tmpl w:val="DE6A0A18"/>
    <w:lvl w:ilvl="0" w:tplc="C5B2C2E4">
      <w:start w:val="1"/>
      <w:numFmt w:val="decimal"/>
      <w:lvlText w:val="%1."/>
      <w:lvlJc w:val="left"/>
      <w:pPr>
        <w:ind w:left="2847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3567" w:hanging="360"/>
      </w:pPr>
    </w:lvl>
    <w:lvl w:ilvl="2" w:tplc="FAB23462">
      <w:start w:val="1"/>
      <w:numFmt w:val="lowerLetter"/>
      <w:lvlText w:val="%3."/>
      <w:lvlJc w:val="left"/>
      <w:pPr>
        <w:ind w:left="4467" w:hanging="360"/>
      </w:pPr>
    </w:lvl>
    <w:lvl w:ilvl="3" w:tplc="2654ABB8">
      <w:start w:val="1"/>
      <w:numFmt w:val="upperRoman"/>
      <w:lvlText w:val="%4."/>
      <w:lvlJc w:val="left"/>
      <w:pPr>
        <w:ind w:left="5367" w:hanging="720"/>
      </w:pPr>
    </w:lvl>
    <w:lvl w:ilvl="4" w:tplc="04150019">
      <w:start w:val="1"/>
      <w:numFmt w:val="lowerLetter"/>
      <w:lvlText w:val="%5."/>
      <w:lvlJc w:val="left"/>
      <w:pPr>
        <w:ind w:left="5727" w:hanging="360"/>
      </w:pPr>
    </w:lvl>
    <w:lvl w:ilvl="5" w:tplc="0415001B">
      <w:start w:val="1"/>
      <w:numFmt w:val="lowerRoman"/>
      <w:lvlText w:val="%6."/>
      <w:lvlJc w:val="right"/>
      <w:pPr>
        <w:ind w:left="6447" w:hanging="180"/>
      </w:pPr>
    </w:lvl>
    <w:lvl w:ilvl="6" w:tplc="0415000F">
      <w:start w:val="1"/>
      <w:numFmt w:val="decimal"/>
      <w:lvlText w:val="%7."/>
      <w:lvlJc w:val="left"/>
      <w:pPr>
        <w:ind w:left="7167" w:hanging="360"/>
      </w:pPr>
    </w:lvl>
    <w:lvl w:ilvl="7" w:tplc="04150019">
      <w:start w:val="1"/>
      <w:numFmt w:val="lowerLetter"/>
      <w:lvlText w:val="%8."/>
      <w:lvlJc w:val="left"/>
      <w:pPr>
        <w:ind w:left="7887" w:hanging="360"/>
      </w:pPr>
    </w:lvl>
    <w:lvl w:ilvl="8" w:tplc="0415001B">
      <w:start w:val="1"/>
      <w:numFmt w:val="lowerRoman"/>
      <w:lvlText w:val="%9."/>
      <w:lvlJc w:val="right"/>
      <w:pPr>
        <w:ind w:left="8607" w:hanging="180"/>
      </w:pPr>
    </w:lvl>
  </w:abstractNum>
  <w:abstractNum w:abstractNumId="5" w15:restartNumberingAfterBreak="0">
    <w:nsid w:val="7ECA52F1"/>
    <w:multiLevelType w:val="hybridMultilevel"/>
    <w:tmpl w:val="B590C79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57A"/>
    <w:rsid w:val="0000584F"/>
    <w:rsid w:val="00021D3F"/>
    <w:rsid w:val="00065BD7"/>
    <w:rsid w:val="00074DFE"/>
    <w:rsid w:val="00091A37"/>
    <w:rsid w:val="00105C2A"/>
    <w:rsid w:val="0011474F"/>
    <w:rsid w:val="001211C7"/>
    <w:rsid w:val="00141880"/>
    <w:rsid w:val="001A618D"/>
    <w:rsid w:val="001A6228"/>
    <w:rsid w:val="001B0FBE"/>
    <w:rsid w:val="001C1B28"/>
    <w:rsid w:val="002073DE"/>
    <w:rsid w:val="00220CAD"/>
    <w:rsid w:val="00234389"/>
    <w:rsid w:val="00292D8E"/>
    <w:rsid w:val="002B3F6D"/>
    <w:rsid w:val="002F5759"/>
    <w:rsid w:val="00305448"/>
    <w:rsid w:val="00306D52"/>
    <w:rsid w:val="003074DF"/>
    <w:rsid w:val="00310D0C"/>
    <w:rsid w:val="00315063"/>
    <w:rsid w:val="00315470"/>
    <w:rsid w:val="003216DB"/>
    <w:rsid w:val="00325726"/>
    <w:rsid w:val="00346991"/>
    <w:rsid w:val="003518FC"/>
    <w:rsid w:val="00390FEB"/>
    <w:rsid w:val="003B4B9E"/>
    <w:rsid w:val="003B55F2"/>
    <w:rsid w:val="003D00EF"/>
    <w:rsid w:val="003D250E"/>
    <w:rsid w:val="00401AE5"/>
    <w:rsid w:val="0047504E"/>
    <w:rsid w:val="004C15EC"/>
    <w:rsid w:val="004D334B"/>
    <w:rsid w:val="004F5AC0"/>
    <w:rsid w:val="00502769"/>
    <w:rsid w:val="00514B49"/>
    <w:rsid w:val="0056243E"/>
    <w:rsid w:val="005A6718"/>
    <w:rsid w:val="005B7506"/>
    <w:rsid w:val="00606738"/>
    <w:rsid w:val="00610F0B"/>
    <w:rsid w:val="00623430"/>
    <w:rsid w:val="00661126"/>
    <w:rsid w:val="006D3B20"/>
    <w:rsid w:val="00712D04"/>
    <w:rsid w:val="007247B8"/>
    <w:rsid w:val="0075699E"/>
    <w:rsid w:val="00761F08"/>
    <w:rsid w:val="0078667E"/>
    <w:rsid w:val="007F06FE"/>
    <w:rsid w:val="007F408D"/>
    <w:rsid w:val="00816522"/>
    <w:rsid w:val="00843771"/>
    <w:rsid w:val="00894E2B"/>
    <w:rsid w:val="008B557A"/>
    <w:rsid w:val="008C4501"/>
    <w:rsid w:val="008D6362"/>
    <w:rsid w:val="008F2C9D"/>
    <w:rsid w:val="00913F02"/>
    <w:rsid w:val="0096406A"/>
    <w:rsid w:val="00981231"/>
    <w:rsid w:val="0098357C"/>
    <w:rsid w:val="009D2195"/>
    <w:rsid w:val="009D21F9"/>
    <w:rsid w:val="00A12EDD"/>
    <w:rsid w:val="00A55BA3"/>
    <w:rsid w:val="00A67699"/>
    <w:rsid w:val="00AC26DB"/>
    <w:rsid w:val="00AC587D"/>
    <w:rsid w:val="00AF222E"/>
    <w:rsid w:val="00B002AD"/>
    <w:rsid w:val="00B132C0"/>
    <w:rsid w:val="00B37DFA"/>
    <w:rsid w:val="00BB7F67"/>
    <w:rsid w:val="00BE7E34"/>
    <w:rsid w:val="00C07E2F"/>
    <w:rsid w:val="00C17AF8"/>
    <w:rsid w:val="00C2418C"/>
    <w:rsid w:val="00C25157"/>
    <w:rsid w:val="00C316F0"/>
    <w:rsid w:val="00C66044"/>
    <w:rsid w:val="00C66543"/>
    <w:rsid w:val="00C95D6B"/>
    <w:rsid w:val="00CE688E"/>
    <w:rsid w:val="00CF55B6"/>
    <w:rsid w:val="00D16DF3"/>
    <w:rsid w:val="00D22772"/>
    <w:rsid w:val="00D24C8A"/>
    <w:rsid w:val="00D27AF1"/>
    <w:rsid w:val="00D54180"/>
    <w:rsid w:val="00D703C5"/>
    <w:rsid w:val="00D81970"/>
    <w:rsid w:val="00D83FE3"/>
    <w:rsid w:val="00DA49F2"/>
    <w:rsid w:val="00DB38ED"/>
    <w:rsid w:val="00DF56A8"/>
    <w:rsid w:val="00E07A44"/>
    <w:rsid w:val="00E17ABF"/>
    <w:rsid w:val="00E21905"/>
    <w:rsid w:val="00E572B6"/>
    <w:rsid w:val="00E57413"/>
    <w:rsid w:val="00E774BD"/>
    <w:rsid w:val="00E83D22"/>
    <w:rsid w:val="00E86F51"/>
    <w:rsid w:val="00E93092"/>
    <w:rsid w:val="00EA755D"/>
    <w:rsid w:val="00EB50C9"/>
    <w:rsid w:val="00EC239B"/>
    <w:rsid w:val="00EC2434"/>
    <w:rsid w:val="00EC679D"/>
    <w:rsid w:val="00EC7595"/>
    <w:rsid w:val="00EF68B4"/>
    <w:rsid w:val="00F3292F"/>
    <w:rsid w:val="00F6430E"/>
    <w:rsid w:val="00FA0F09"/>
    <w:rsid w:val="00FA63AC"/>
    <w:rsid w:val="00FB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155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7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ojalista">
    <w:name w:val="moja lista"/>
    <w:rsid w:val="00074DFE"/>
    <w:pPr>
      <w:numPr>
        <w:numId w:val="1"/>
      </w:numPr>
    </w:pPr>
  </w:style>
  <w:style w:type="paragraph" w:styleId="Bezodstpw">
    <w:name w:val="No Spacing"/>
    <w:uiPriority w:val="1"/>
    <w:qFormat/>
    <w:rsid w:val="0000584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00584F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rsid w:val="00514B49"/>
    <w:rPr>
      <w:color w:val="0066CC"/>
      <w:u w:val="single"/>
    </w:rPr>
  </w:style>
  <w:style w:type="character" w:customStyle="1" w:styleId="Teksttreci8">
    <w:name w:val="Tekst treści (8)_"/>
    <w:basedOn w:val="Domylnaczcionkaakapitu"/>
    <w:link w:val="Teksttreci80"/>
    <w:rsid w:val="00514B49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eksttreci6">
    <w:name w:val="Tekst treści (6)_"/>
    <w:basedOn w:val="Domylnaczcionkaakapitu"/>
    <w:rsid w:val="00514B49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w w:val="70"/>
      <w:sz w:val="37"/>
      <w:szCs w:val="37"/>
    </w:rPr>
  </w:style>
  <w:style w:type="character" w:customStyle="1" w:styleId="Teksttreci60">
    <w:name w:val="Tekst treści (6)"/>
    <w:basedOn w:val="Teksttreci6"/>
    <w:rsid w:val="00514B49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w w:val="70"/>
      <w:sz w:val="37"/>
      <w:szCs w:val="37"/>
    </w:rPr>
  </w:style>
  <w:style w:type="character" w:customStyle="1" w:styleId="Teksttreci">
    <w:name w:val="Tekst treści_"/>
    <w:basedOn w:val="Domylnaczcionkaakapitu"/>
    <w:link w:val="Teksttreci0"/>
    <w:rsid w:val="00514B49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514B49"/>
    <w:pPr>
      <w:shd w:val="clear" w:color="auto" w:fill="FFFFFF"/>
      <w:spacing w:after="0" w:line="173" w:lineRule="exact"/>
      <w:ind w:hanging="14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Teksttreci0">
    <w:name w:val="Tekst treści"/>
    <w:basedOn w:val="Normalny"/>
    <w:link w:val="Teksttreci"/>
    <w:rsid w:val="00514B49"/>
    <w:pPr>
      <w:shd w:val="clear" w:color="auto" w:fill="FFFFFF"/>
      <w:spacing w:before="240" w:after="240" w:line="0" w:lineRule="atLeast"/>
      <w:ind w:hanging="140"/>
      <w:jc w:val="both"/>
    </w:pPr>
    <w:rPr>
      <w:rFonts w:ascii="Calibri" w:eastAsia="Calibri" w:hAnsi="Calibri" w:cs="Calibri"/>
      <w:sz w:val="23"/>
      <w:szCs w:val="23"/>
    </w:rPr>
  </w:style>
  <w:style w:type="character" w:customStyle="1" w:styleId="Nagwek13Pogrubienie">
    <w:name w:val="Nagłówek #1 (3) + Pogrubienie"/>
    <w:basedOn w:val="Domylnaczcionkaakapitu"/>
    <w:rsid w:val="00E93092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3"/>
      <w:szCs w:val="2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F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F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F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F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F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FEB"/>
    <w:rPr>
      <w:rFonts w:ascii="Segoe UI" w:hAnsi="Segoe UI" w:cs="Segoe UI"/>
      <w:sz w:val="18"/>
      <w:szCs w:val="18"/>
    </w:rPr>
  </w:style>
  <w:style w:type="table" w:styleId="Siatkatabelijasna">
    <w:name w:val="Grid Table Light"/>
    <w:basedOn w:val="Standardowy"/>
    <w:uiPriority w:val="40"/>
    <w:rsid w:val="00AF22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D2277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ogrubienie">
    <w:name w:val="Strong"/>
    <w:basedOn w:val="Domylnaczcionkaakapitu"/>
    <w:uiPriority w:val="22"/>
    <w:qFormat/>
    <w:rsid w:val="00D27AF1"/>
    <w:rPr>
      <w:b/>
      <w:bCs/>
    </w:rPr>
  </w:style>
  <w:style w:type="table" w:styleId="Tabela-Siatka">
    <w:name w:val="Table Grid"/>
    <w:basedOn w:val="Standardowy"/>
    <w:uiPriority w:val="39"/>
    <w:rsid w:val="001B0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6kolorowa">
    <w:name w:val="Grid Table 6 Colorful"/>
    <w:basedOn w:val="Standardowy"/>
    <w:uiPriority w:val="51"/>
    <w:rsid w:val="001B0FB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1A6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18D"/>
  </w:style>
  <w:style w:type="paragraph" w:styleId="Stopka">
    <w:name w:val="footer"/>
    <w:basedOn w:val="Normalny"/>
    <w:link w:val="StopkaZnak"/>
    <w:uiPriority w:val="99"/>
    <w:unhideWhenUsed/>
    <w:rsid w:val="001A6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7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5F43B-B97B-4A62-AEAF-0F53612EF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4034</Words>
  <Characters>24209</Characters>
  <Application>Microsoft Office Word</Application>
  <DocSecurity>0</DocSecurity>
  <Lines>201</Lines>
  <Paragraphs>56</Paragraphs>
  <ScaleCrop>false</ScaleCrop>
  <Company/>
  <LinksUpToDate>false</LinksUpToDate>
  <CharactersWithSpaces>28187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2019-06-27T14:38:00Z</dcterms:created>
  <dcterms:modified xsi:type="dcterms:W3CDTF">2019-06-27T14:38:00Z</dcterms:modified>
</cp:coreProperties>
</file>